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52" w:rsidRDefault="004E1952" w:rsidP="004E1952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4E1952" w:rsidRDefault="004E1952" w:rsidP="004E1952">
      <w:pPr>
        <w:jc w:val="center"/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12395F">
        <w:rPr>
          <w:b/>
          <w:sz w:val="28"/>
          <w:szCs w:val="28"/>
        </w:rPr>
        <w:t xml:space="preserve"> №________(ПРОЕКТ)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(_________________________)</w:t>
      </w:r>
    </w:p>
    <w:p w:rsidR="004E1952" w:rsidRDefault="004E1952" w:rsidP="004E1952">
      <w:pPr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4E1952" w:rsidRDefault="004E1952" w:rsidP="004E19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1952" w:rsidRDefault="004E1952" w:rsidP="004E195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изменений и дополнений в Устав рабочего поселка</w:t>
      </w:r>
      <w:proofErr w:type="gramStart"/>
      <w:r>
        <w:rPr>
          <w:b/>
          <w:color w:val="000000"/>
          <w:sz w:val="28"/>
          <w:szCs w:val="28"/>
        </w:rPr>
        <w:t xml:space="preserve"> Ч</w:t>
      </w:r>
      <w:proofErr w:type="gramEnd"/>
      <w:r>
        <w:rPr>
          <w:b/>
          <w:color w:val="000000"/>
          <w:sz w:val="28"/>
          <w:szCs w:val="28"/>
        </w:rPr>
        <w:t xml:space="preserve">ик </w:t>
      </w: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4E1952" w:rsidRDefault="004E1952" w:rsidP="004E1952">
      <w:pPr>
        <w:jc w:val="center"/>
        <w:rPr>
          <w:b/>
          <w:color w:val="000000"/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Федерации»,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 </w:t>
      </w:r>
    </w:p>
    <w:p w:rsidR="004E1952" w:rsidRDefault="004E1952" w:rsidP="004E195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1952" w:rsidRDefault="004E1952" w:rsidP="004E1952">
      <w:pPr>
        <w:pStyle w:val="a3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за основу проект изменений 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(приложение).</w:t>
      </w:r>
    </w:p>
    <w:p w:rsidR="004E1952" w:rsidRDefault="004E1952" w:rsidP="004E1952">
      <w:pPr>
        <w:pStyle w:val="a3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 изменений 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«Информационном бюллетене органов местного самоуправления рабочего поселка Чик» и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4E1952" w:rsidRDefault="004E1952" w:rsidP="004E1952">
      <w:pPr>
        <w:pStyle w:val="a3"/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депутатов (Масленников А.С.) провести публичные слушания по обсуждению проекта в Устав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01 октября 2018 года в 15-00 в помещении администрации.</w:t>
      </w:r>
    </w:p>
    <w:p w:rsidR="004E1952" w:rsidRDefault="004E1952" w:rsidP="004E1952">
      <w:pPr>
        <w:pStyle w:val="a3"/>
        <w:ind w:left="0" w:firstLine="851"/>
        <w:jc w:val="both"/>
        <w:rPr>
          <w:sz w:val="28"/>
          <w:szCs w:val="28"/>
        </w:rPr>
      </w:pPr>
    </w:p>
    <w:p w:rsidR="004E1952" w:rsidRDefault="004E1952" w:rsidP="004E1952">
      <w:pPr>
        <w:pStyle w:val="a3"/>
        <w:ind w:left="0"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</w:rPr>
      </w:pPr>
      <w:r>
        <w:rPr>
          <w:sz w:val="28"/>
        </w:rPr>
        <w:t>Глава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4E1952" w:rsidRDefault="004E1952" w:rsidP="004E1952">
      <w:pPr>
        <w:ind w:firstLine="851"/>
        <w:rPr>
          <w:sz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С. Масленников</w:t>
      </w:r>
    </w:p>
    <w:p w:rsidR="004E1952" w:rsidRDefault="004E1952" w:rsidP="004E1952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1952" w:rsidRDefault="004E1952" w:rsidP="004E1952">
      <w:pPr>
        <w:autoSpaceDE w:val="0"/>
        <w:autoSpaceDN w:val="0"/>
        <w:adjustRightInd w:val="0"/>
        <w:ind w:left="5245"/>
        <w:jc w:val="both"/>
      </w:pPr>
      <w:r>
        <w:lastRenderedPageBreak/>
        <w:t>Приложение</w:t>
      </w:r>
      <w:r w:rsidR="002153C6">
        <w:t xml:space="preserve"> к Решению №_____</w:t>
      </w:r>
      <w:bookmarkStart w:id="0" w:name="_GoBack"/>
      <w:bookmarkEnd w:id="0"/>
    </w:p>
    <w:p w:rsidR="004E1952" w:rsidRDefault="004E1952" w:rsidP="004E1952">
      <w:pPr>
        <w:ind w:left="5245"/>
      </w:pPr>
      <w:r>
        <w:t>утверждено решением ________</w:t>
      </w:r>
      <w:r w:rsidR="0012395F">
        <w:t>сессии</w:t>
      </w:r>
    </w:p>
    <w:p w:rsidR="004E1952" w:rsidRDefault="004E1952" w:rsidP="004E1952">
      <w:pPr>
        <w:ind w:firstLine="5245"/>
      </w:pPr>
      <w:r>
        <w:t>Совета депутатов рабочего</w:t>
      </w:r>
    </w:p>
    <w:p w:rsidR="004E1952" w:rsidRDefault="004E1952" w:rsidP="004E1952">
      <w:pPr>
        <w:ind w:firstLine="5245"/>
      </w:pPr>
      <w:r>
        <w:t xml:space="preserve"> поселка</w:t>
      </w:r>
      <w:proofErr w:type="gramStart"/>
      <w:r>
        <w:t xml:space="preserve"> Ч</w:t>
      </w:r>
      <w:proofErr w:type="gramEnd"/>
      <w:r>
        <w:t>ик</w:t>
      </w:r>
    </w:p>
    <w:p w:rsidR="004E1952" w:rsidRDefault="004E1952" w:rsidP="004E1952">
      <w:pPr>
        <w:tabs>
          <w:tab w:val="left" w:pos="9243"/>
        </w:tabs>
        <w:ind w:firstLine="5245"/>
      </w:pPr>
      <w:r>
        <w:t xml:space="preserve">пятого созыва </w:t>
      </w:r>
      <w:proofErr w:type="gramStart"/>
      <w:r>
        <w:t>от</w:t>
      </w:r>
      <w:proofErr w:type="gramEnd"/>
      <w:r>
        <w:t xml:space="preserve"> _________ </w:t>
      </w:r>
    </w:p>
    <w:p w:rsidR="004E1952" w:rsidRDefault="004E1952" w:rsidP="004E1952">
      <w:pPr>
        <w:tabs>
          <w:tab w:val="left" w:pos="9243"/>
        </w:tabs>
        <w:ind w:firstLine="5245"/>
      </w:pPr>
      <w:r>
        <w:t>года № _______</w:t>
      </w:r>
    </w:p>
    <w:p w:rsidR="004E1952" w:rsidRDefault="004E1952" w:rsidP="004E1952">
      <w:pPr>
        <w:autoSpaceDE w:val="0"/>
        <w:autoSpaceDN w:val="0"/>
        <w:adjustRightInd w:val="0"/>
        <w:ind w:firstLine="5812"/>
        <w:jc w:val="both"/>
      </w:pPr>
    </w:p>
    <w:p w:rsidR="004E1952" w:rsidRDefault="004E1952" w:rsidP="004E1952">
      <w:pPr>
        <w:autoSpaceDE w:val="0"/>
        <w:autoSpaceDN w:val="0"/>
        <w:adjustRightInd w:val="0"/>
        <w:jc w:val="both"/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5 статьи 5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редакции:</w:t>
      </w:r>
    </w:p>
    <w:p w:rsidR="004E1952" w:rsidRDefault="004E1952" w:rsidP="004E1952">
      <w:pPr>
        <w:ind w:firstLine="851"/>
        <w:jc w:val="both"/>
        <w:rPr>
          <w:b/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 19 статьи 5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</w:t>
      </w:r>
      <w:r>
        <w:rPr>
          <w:b/>
          <w:sz w:val="28"/>
          <w:szCs w:val="28"/>
        </w:rPr>
        <w:t>:</w:t>
      </w:r>
    </w:p>
    <w:p w:rsidR="004E1952" w:rsidRDefault="004E1952" w:rsidP="004E195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19) участие в организации деятельности по накоплению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21 статьи 5</w:t>
      </w:r>
      <w:r>
        <w:rPr>
          <w:b/>
          <w:sz w:val="28"/>
          <w:szCs w:val="28"/>
        </w:rPr>
        <w:t xml:space="preserve"> «Вопросы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редакции:</w:t>
      </w:r>
    </w:p>
    <w:p w:rsidR="004E1952" w:rsidRDefault="004E1952" w:rsidP="004E19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  <w:r>
        <w:rPr>
          <w:color w:val="000000" w:themeColor="text1"/>
          <w:sz w:val="28"/>
          <w:szCs w:val="28"/>
        </w:rPr>
        <w:t xml:space="preserve">направление уведомления о соответствии указанных в уведомлении о планируемых строительстве или </w:t>
      </w:r>
      <w:r>
        <w:rPr>
          <w:color w:val="000000" w:themeColor="text1"/>
          <w:sz w:val="28"/>
          <w:szCs w:val="28"/>
        </w:rPr>
        <w:lastRenderedPageBreak/>
        <w:t>реконструкции объекта индивидуального жилищного строительства или садового дома (далее - уведомление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>
        <w:rPr>
          <w:color w:val="000000" w:themeColor="text1"/>
          <w:sz w:val="28"/>
          <w:szCs w:val="28"/>
        </w:rPr>
        <w:t xml:space="preserve">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>
        <w:rPr>
          <w:color w:val="000000" w:themeColor="text1"/>
          <w:sz w:val="28"/>
          <w:szCs w:val="28"/>
        </w:rPr>
        <w:t>;»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4E1952" w:rsidRDefault="004E1952" w:rsidP="004E1952">
      <w:pPr>
        <w:jc w:val="both"/>
        <w:rPr>
          <w:b/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статью 6</w:t>
      </w:r>
      <w:r>
        <w:rPr>
          <w:b/>
          <w:sz w:val="28"/>
          <w:szCs w:val="28"/>
        </w:rPr>
        <w:t xml:space="preserve"> «Права органов местного самоуправления поселения на решение вопросов, не отнесенных к вопросам местного значения поселения»» </w:t>
      </w:r>
      <w:r>
        <w:rPr>
          <w:sz w:val="28"/>
          <w:szCs w:val="28"/>
        </w:rPr>
        <w:t>пунктом 16 следующего содержания: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«16)</w:t>
      </w:r>
      <w:r>
        <w:t xml:space="preserve"> </w:t>
      </w:r>
      <w:r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3 часть 3 статьи 12 «</w:t>
      </w:r>
      <w:r>
        <w:rPr>
          <w:b/>
          <w:sz w:val="28"/>
          <w:szCs w:val="28"/>
        </w:rPr>
        <w:t xml:space="preserve"> Публичные слушания» </w:t>
      </w:r>
      <w:r>
        <w:rPr>
          <w:sz w:val="28"/>
          <w:szCs w:val="28"/>
        </w:rPr>
        <w:t>признать утратившим силу.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18 части 1 статьи 20 </w:t>
      </w:r>
      <w:r>
        <w:rPr>
          <w:b/>
          <w:sz w:val="28"/>
          <w:szCs w:val="28"/>
        </w:rPr>
        <w:t xml:space="preserve">«Полномочия Совета депутатов»» </w:t>
      </w:r>
      <w:r>
        <w:rPr>
          <w:sz w:val="28"/>
          <w:szCs w:val="28"/>
        </w:rPr>
        <w:t>исключить.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Пункты 19-28 считать соответственно пунктами  18-27.</w:t>
      </w:r>
    </w:p>
    <w:p w:rsidR="004E1952" w:rsidRDefault="004E1952" w:rsidP="004E1952">
      <w:pPr>
        <w:jc w:val="both"/>
        <w:rPr>
          <w:sz w:val="28"/>
          <w:szCs w:val="28"/>
        </w:rPr>
      </w:pPr>
    </w:p>
    <w:p w:rsidR="004E1952" w:rsidRDefault="004E1952" w:rsidP="004E1952">
      <w:pPr>
        <w:jc w:val="both"/>
        <w:rPr>
          <w:sz w:val="28"/>
          <w:szCs w:val="28"/>
        </w:rPr>
      </w:pPr>
    </w:p>
    <w:p w:rsidR="004E1952" w:rsidRDefault="004E1952" w:rsidP="004E1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Пункт 19 части 1 статьи 20 </w:t>
      </w:r>
      <w:r>
        <w:rPr>
          <w:b/>
          <w:sz w:val="28"/>
          <w:szCs w:val="28"/>
        </w:rPr>
        <w:t xml:space="preserve">«Полномочия Совета депутатов»» </w:t>
      </w:r>
      <w:r>
        <w:rPr>
          <w:sz w:val="28"/>
          <w:szCs w:val="28"/>
        </w:rPr>
        <w:t>исключить.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Пункты 20-27 считать соответственно пунктами 19-26.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23 части 1 статьи 20 «</w:t>
      </w:r>
      <w:r>
        <w:rPr>
          <w:b/>
          <w:sz w:val="28"/>
          <w:szCs w:val="28"/>
        </w:rPr>
        <w:t xml:space="preserve">Полномочия администрации» </w:t>
      </w:r>
      <w:r>
        <w:rPr>
          <w:sz w:val="28"/>
          <w:szCs w:val="28"/>
        </w:rPr>
        <w:t>изложить в новой редакции: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23) утверждение правил благоустройства территории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Статью 22.1 «</w:t>
      </w:r>
      <w:r>
        <w:rPr>
          <w:b/>
          <w:sz w:val="28"/>
          <w:szCs w:val="28"/>
        </w:rPr>
        <w:t>Основные гарантии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деятельности депутата Совета депутатов, Главы муниципального образования» </w:t>
      </w:r>
      <w:r>
        <w:rPr>
          <w:sz w:val="28"/>
          <w:szCs w:val="28"/>
        </w:rPr>
        <w:t>изложить в следующей редакции: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 1.Депутатам,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ик, Главе рабочего поселка Чик гарантируются условия для беспрепятственного и эффективного осуществления полномочий, защита </w:t>
      </w:r>
      <w:proofErr w:type="spellStart"/>
      <w:r>
        <w:rPr>
          <w:sz w:val="28"/>
          <w:szCs w:val="28"/>
        </w:rPr>
        <w:t>пра</w:t>
      </w:r>
      <w:proofErr w:type="spellEnd"/>
      <w:r>
        <w:rPr>
          <w:sz w:val="28"/>
          <w:szCs w:val="28"/>
        </w:rPr>
        <w:t>, чести и достоинства.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Депутаты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осуществляют свою деятельность в следующих формах: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сессиях, работе постоянных комиссий, рабочих группах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внесение на рассмотрение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проектов муниципальных актов;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направление депутатских запросов, обращений депутата;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 иных формах, в соответствии с действующим законодательством.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Депутатам,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Главе рабочего поселка Чик гарантируются: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 право на получение информации;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 право на посещение: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органов местного самоуправления и муниципальных органов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прием в первоочередном порядке: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должностными лицами органов государственной власти Новосибирской области;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должностными лицами органов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руководителями муниципальных унитарных предприятий и муниципальных учреждений, учредителем которых является рабочий поселок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Депутатам,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Главе рабочего поселка Чик, осуществляющим свои полномочия на постоянной основе, также гарантируются: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оплата труда;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ежегодные основной и дополнительный оплачиваемые отпуска;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служебного помещения (рабочего места), оборудованного мебелью, средствами связ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возможность использования служебного автотранспорта.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Оплата труда Главы рабочего поселка Чик, депутата, председателя Совета депутатов рабочего поселка Чик, осуществляющих свои полномочия на постоянной основе, состоит из ежемесячного денежного содержани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Главе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депутатам, председателю Совета депутатов рабочего поселка Чик,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ежегодного основного оплачиваемого отпуска один раз в год производится выплата, не превышающая двукратного размера ежемесячного денежного содержани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вознаграждения).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Депутатам, председателю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осуществляющим свои полномочия на постоянной основе, гарантируется возмещение расходов на проезд от места жительства к месту нахождения Совета депутатов рабочего поселка Чик и обратно в целях исполнения своих полномочий.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Депутаты, председатель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Глава рабочего поселка Чик вправе получать копии муниципальных правовых актов рабочего поселка Чик.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Порядок реализации гарантий депутатам, председателю Совета депутатов рабочего поселка Чик, Главе рабочего поселка Чик, определенных настоящей статьей, за исключением гарантий, предусмотренных </w:t>
      </w:r>
      <w:proofErr w:type="spellStart"/>
      <w:r>
        <w:rPr>
          <w:sz w:val="28"/>
          <w:szCs w:val="28"/>
        </w:rPr>
        <w:t>подпуктом</w:t>
      </w:r>
      <w:proofErr w:type="spellEnd"/>
      <w:r>
        <w:rPr>
          <w:sz w:val="28"/>
          <w:szCs w:val="28"/>
        </w:rPr>
        <w:t xml:space="preserve"> «а» пункта 2 и подпунктом «а» пункта 3 части 3 настоящей статьи, </w:t>
      </w:r>
      <w:r>
        <w:rPr>
          <w:sz w:val="28"/>
          <w:szCs w:val="28"/>
        </w:rPr>
        <w:lastRenderedPageBreak/>
        <w:t>устанавливается муниципальными правовыми актами Совета депутатов рабочего поселка Чик</w:t>
      </w:r>
      <w:proofErr w:type="gramStart"/>
      <w:r>
        <w:rPr>
          <w:sz w:val="28"/>
          <w:szCs w:val="28"/>
        </w:rPr>
        <w:t>.»</w:t>
      </w:r>
      <w:proofErr w:type="gramEnd"/>
    </w:p>
    <w:p w:rsidR="004E1952" w:rsidRDefault="004E1952" w:rsidP="004E1952">
      <w:pPr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6 статьи 30</w:t>
      </w:r>
      <w:r>
        <w:rPr>
          <w:b/>
          <w:sz w:val="28"/>
          <w:szCs w:val="28"/>
        </w:rPr>
        <w:t xml:space="preserve"> «Полномочия администрации»</w:t>
      </w:r>
      <w:r>
        <w:rPr>
          <w:sz w:val="28"/>
          <w:szCs w:val="28"/>
        </w:rPr>
        <w:t xml:space="preserve"> изложить в новой редакции: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20 статьи 30</w:t>
      </w:r>
      <w:r>
        <w:rPr>
          <w:b/>
          <w:sz w:val="28"/>
          <w:szCs w:val="28"/>
        </w:rPr>
        <w:t xml:space="preserve"> «Полномочия администрации»</w:t>
      </w:r>
      <w:r>
        <w:rPr>
          <w:sz w:val="28"/>
          <w:szCs w:val="28"/>
        </w:rPr>
        <w:t xml:space="preserve"> изложить в новой редакции: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выдача разрешений на строительство ( 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уведомление </w:t>
      </w:r>
      <w:proofErr w:type="gramStart"/>
      <w:r>
        <w:rPr>
          <w:sz w:val="28"/>
          <w:szCs w:val="28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lastRenderedPageBreak/>
        <w:t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>
        <w:rPr>
          <w:sz w:val="28"/>
          <w:szCs w:val="28"/>
        </w:rPr>
        <w:t xml:space="preserve">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</w:t>
      </w:r>
      <w:proofErr w:type="spellStart"/>
      <w:r>
        <w:rPr>
          <w:sz w:val="28"/>
          <w:szCs w:val="28"/>
        </w:rPr>
        <w:t>Российйской</w:t>
      </w:r>
      <w:proofErr w:type="spellEnd"/>
      <w:r>
        <w:rPr>
          <w:sz w:val="28"/>
          <w:szCs w:val="28"/>
        </w:rPr>
        <w:t xml:space="preserve">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Дополнить статью 30</w:t>
      </w:r>
      <w:r>
        <w:rPr>
          <w:b/>
          <w:sz w:val="28"/>
          <w:szCs w:val="28"/>
        </w:rPr>
        <w:t xml:space="preserve"> «Полномочия администрации» </w:t>
      </w:r>
      <w:r>
        <w:rPr>
          <w:sz w:val="28"/>
          <w:szCs w:val="28"/>
        </w:rPr>
        <w:t>пунктом 63.5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>
        <w:rPr>
          <w:b/>
          <w:sz w:val="28"/>
          <w:szCs w:val="28"/>
        </w:rPr>
        <w:t>: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«63.5)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Дополнить часть 2 статьи 41.1</w:t>
      </w:r>
      <w:r>
        <w:rPr>
          <w:b/>
          <w:sz w:val="28"/>
          <w:szCs w:val="28"/>
        </w:rPr>
        <w:t xml:space="preserve"> «Содержание правил благоустройства территории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пунктом 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>
        <w:rPr>
          <w:b/>
          <w:sz w:val="28"/>
          <w:szCs w:val="28"/>
        </w:rPr>
        <w:t>: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по границам таких домов) в содержании прилегающих территорий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Дополнить часть 2 статьи 41.1</w:t>
      </w:r>
      <w:r>
        <w:rPr>
          <w:b/>
          <w:sz w:val="28"/>
          <w:szCs w:val="28"/>
        </w:rPr>
        <w:t xml:space="preserve"> «Содержание правил благоустройства территории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пунктом 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>
        <w:rPr>
          <w:b/>
          <w:sz w:val="28"/>
          <w:szCs w:val="28"/>
        </w:rPr>
        <w:t>: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«17) определения границ прилегающих территорий в соответствии с порядком, установленным законом субъекта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4E1952" w:rsidRDefault="004E1952" w:rsidP="004E1952">
      <w:pPr>
        <w:ind w:left="326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4E1952" w:rsidRDefault="004E1952" w:rsidP="004E1952">
      <w:pPr>
        <w:jc w:val="center"/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12395F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</w:t>
      </w:r>
      <w:r w:rsidR="0012395F">
        <w:rPr>
          <w:b/>
          <w:sz w:val="28"/>
          <w:szCs w:val="28"/>
        </w:rPr>
        <w:t>(ПРОЕКТ</w:t>
      </w:r>
      <w:r>
        <w:rPr>
          <w:b/>
          <w:sz w:val="28"/>
          <w:szCs w:val="28"/>
        </w:rPr>
        <w:t>)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________________________</w:t>
      </w:r>
      <w:r>
        <w:rPr>
          <w:b/>
          <w:sz w:val="28"/>
          <w:szCs w:val="28"/>
        </w:rPr>
        <w:t>)</w:t>
      </w:r>
    </w:p>
    <w:p w:rsidR="004E1952" w:rsidRDefault="004E1952" w:rsidP="004E1952">
      <w:pPr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4E1952" w:rsidRDefault="004E1952" w:rsidP="004E1952">
      <w:pPr>
        <w:jc w:val="center"/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31.08.2016 №70 «О внесении дополнений в Положение о порядке проведения конкурса по отбору кандидатур на должность Главы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области, утвержденное решением тридцать девятой сессии Совета депутатов рабочего поселка Чик от 09.07.2015».</w:t>
      </w:r>
    </w:p>
    <w:p w:rsidR="004E1952" w:rsidRDefault="004E1952" w:rsidP="004E1952">
      <w:pPr>
        <w:jc w:val="center"/>
        <w:rPr>
          <w:b/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экспертное заключение Министерства юстиции Новосибирской области от 23. 07. 2018 № 4109-4-04/9, в соответствии с постановлением Правительства Новосибирской области от 15.04.2013 № 162-п «Об организации работы по ведению регистра муниципальных нормативных правовых актов Новосибирской области», Уставом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1952" w:rsidRDefault="004E1952" w:rsidP="004E1952">
      <w:pPr>
        <w:pStyle w:val="ConsPlusTitle"/>
        <w:widowControl/>
        <w:numPr>
          <w:ilvl w:val="0"/>
          <w:numId w:val="4"/>
        </w:numPr>
        <w:spacing w:line="240" w:lineRule="auto"/>
        <w:ind w:left="0" w:hanging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Совета депутатов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31.08.2016 № 70 «О внесении дополнений в Положение о порядке проведения конкурса по отбору кандидатур на должность Главы рабочего поселка Чик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утвержденное решением тридцать девятой сессии Совета депутатов рабочего поселка Чик от 09.07.2015» признать утратившим силу.</w:t>
      </w:r>
    </w:p>
    <w:p w:rsidR="004E1952" w:rsidRDefault="004E1952" w:rsidP="004E1952">
      <w:pPr>
        <w:pStyle w:val="ConsPlusTitle"/>
        <w:widowControl/>
        <w:spacing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1952" w:rsidRDefault="004E1952" w:rsidP="004E1952">
      <w:pPr>
        <w:pStyle w:val="ConsPlusTitle"/>
        <w:widowControl/>
        <w:spacing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4E1952" w:rsidRDefault="004E1952" w:rsidP="004E1952">
      <w:pPr>
        <w:ind w:firstLine="851"/>
        <w:jc w:val="both"/>
        <w:rPr>
          <w:color w:val="000000"/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rPr>
          <w:sz w:val="28"/>
          <w:szCs w:val="28"/>
        </w:rPr>
      </w:pPr>
    </w:p>
    <w:p w:rsidR="004E1952" w:rsidRDefault="004E1952" w:rsidP="004E1952">
      <w:pPr>
        <w:tabs>
          <w:tab w:val="left" w:pos="996"/>
        </w:tabs>
      </w:pPr>
    </w:p>
    <w:p w:rsidR="004E1952" w:rsidRDefault="004E1952" w:rsidP="004E1952"/>
    <w:p w:rsidR="004E1952" w:rsidRDefault="004E1952" w:rsidP="004E1952">
      <w:pPr>
        <w:tabs>
          <w:tab w:val="left" w:pos="1008"/>
        </w:tabs>
      </w:pPr>
      <w:r>
        <w:tab/>
      </w:r>
    </w:p>
    <w:p w:rsidR="004E1952" w:rsidRDefault="004E1952" w:rsidP="004E1952">
      <w:pPr>
        <w:spacing w:after="200" w:line="276" w:lineRule="auto"/>
      </w:pPr>
    </w:p>
    <w:p w:rsidR="004E1952" w:rsidRDefault="004E1952" w:rsidP="004E1952">
      <w:pPr>
        <w:jc w:val="center"/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4E1952" w:rsidRDefault="004E1952" w:rsidP="004E1952">
      <w:pPr>
        <w:jc w:val="center"/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12395F">
        <w:rPr>
          <w:b/>
          <w:sz w:val="28"/>
          <w:szCs w:val="28"/>
        </w:rPr>
        <w:t>______(ПРОЕКТ</w:t>
      </w:r>
      <w:r>
        <w:rPr>
          <w:b/>
          <w:sz w:val="28"/>
          <w:szCs w:val="28"/>
        </w:rPr>
        <w:t>)</w:t>
      </w:r>
    </w:p>
    <w:p w:rsidR="004E1952" w:rsidRDefault="004E1952" w:rsidP="004E1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_________________________</w:t>
      </w:r>
      <w:r>
        <w:rPr>
          <w:b/>
          <w:sz w:val="28"/>
          <w:szCs w:val="28"/>
        </w:rPr>
        <w:t>)</w:t>
      </w:r>
    </w:p>
    <w:p w:rsidR="004E1952" w:rsidRDefault="004E1952" w:rsidP="004E1952">
      <w:pPr>
        <w:rPr>
          <w:b/>
          <w:sz w:val="28"/>
          <w:szCs w:val="28"/>
        </w:rPr>
      </w:pPr>
    </w:p>
    <w:p w:rsidR="004E1952" w:rsidRDefault="004E1952" w:rsidP="004E1952">
      <w:pPr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4E1952" w:rsidRDefault="004E1952" w:rsidP="004E1952">
      <w:pPr>
        <w:jc w:val="center"/>
        <w:rPr>
          <w:sz w:val="28"/>
          <w:szCs w:val="28"/>
        </w:rPr>
      </w:pPr>
    </w:p>
    <w:p w:rsidR="004E1952" w:rsidRDefault="004E1952" w:rsidP="004E1952">
      <w:pPr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пятнадцатой сессии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от 28.11.2016 № 92 «Об утверждении Правил благоустройства, обеспечения чистоты и порядка на территории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законодательством от 06.10.2003 № 131-ФЗ «Об общих принципах организации местного самоуправления в Российской Федерации», Гражданским кодексом РФ, Земельным кодексом РФ, Приказом Министерства строительства и жилищно-коммунального хозяйства Российской Федерации от 13.04.2017 № 711/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1952" w:rsidRDefault="004E1952" w:rsidP="004E1952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пятнадцатой сессии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от 28.11.2016 № 92 «Об утверждении Правил благоустройства, обеспечения чистоты и порядка на территории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области»:</w:t>
      </w:r>
    </w:p>
    <w:p w:rsidR="004E1952" w:rsidRDefault="004E1952" w:rsidP="004E1952">
      <w:pPr>
        <w:shd w:val="clear" w:color="auto" w:fill="FDFE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ополнить разделом 7.2 следующего содержания: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38" w:firstLine="851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2"/>
          <w:sz w:val="28"/>
          <w:szCs w:val="28"/>
        </w:rPr>
        <w:t>7.2. Требования к размещению наружной рекламы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  <w:tab w:val="left" w:pos="8789"/>
        </w:tabs>
        <w:autoSpaceDE w:val="0"/>
        <w:autoSpaceDN w:val="0"/>
        <w:adjustRightInd w:val="0"/>
        <w:ind w:right="-1"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7.2.1. </w:t>
      </w:r>
      <w:proofErr w:type="gramStart"/>
      <w:r>
        <w:rPr>
          <w:spacing w:val="2"/>
          <w:sz w:val="28"/>
          <w:szCs w:val="28"/>
        </w:rPr>
        <w:t xml:space="preserve">Распространение наружной рекламы на территории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области с использованием рекламных конструкций, монтируемых и располагаемых на внешних стенах, крышах и иных конструктивных элементах зданий, строений, сооружений или вне их, остановочных пунктов движения общественного транспорта, осуществляется владельцем рекламной конструкции, являющимся </w:t>
      </w:r>
      <w:proofErr w:type="spellStart"/>
      <w:r>
        <w:rPr>
          <w:spacing w:val="2"/>
          <w:sz w:val="28"/>
          <w:szCs w:val="28"/>
        </w:rPr>
        <w:t>рекламораспространителем</w:t>
      </w:r>
      <w:proofErr w:type="spellEnd"/>
      <w:r>
        <w:rPr>
          <w:spacing w:val="2"/>
          <w:sz w:val="28"/>
          <w:szCs w:val="28"/>
        </w:rPr>
        <w:t>, с соблюдением требований, установленных законодательством в области рекламы, техническими регламентами, иными нормативными правовыми актами, настоящими Правилами</w:t>
      </w:r>
      <w:proofErr w:type="gramEnd"/>
      <w:r>
        <w:rPr>
          <w:spacing w:val="2"/>
          <w:sz w:val="28"/>
          <w:szCs w:val="28"/>
        </w:rPr>
        <w:t>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7.2.2. Наружная реклама должна быть обеспечена наружным или внутренним источником света для улучшения </w:t>
      </w:r>
      <w:proofErr w:type="gramStart"/>
      <w:r>
        <w:rPr>
          <w:spacing w:val="2"/>
          <w:sz w:val="28"/>
          <w:szCs w:val="28"/>
        </w:rPr>
        <w:t>восприятия</w:t>
      </w:r>
      <w:proofErr w:type="gramEnd"/>
      <w:r>
        <w:rPr>
          <w:spacing w:val="2"/>
          <w:sz w:val="28"/>
          <w:szCs w:val="28"/>
        </w:rPr>
        <w:t xml:space="preserve"> как в дневное, так и в вечернее (темное) время суток.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7.2.3. Рекламная конструкция должна использоваться исключительно </w:t>
      </w:r>
      <w:r>
        <w:rPr>
          <w:spacing w:val="2"/>
          <w:sz w:val="28"/>
          <w:szCs w:val="28"/>
        </w:rPr>
        <w:lastRenderedPageBreak/>
        <w:t>в целях распространения рекламы.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7.2.4. Распространение рекламы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7.2.5.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7.2.6. Рекламные конструкции при их размещении на территории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области не должны нарушать внешнего архитектурного облика сложившейся застройки, единого архитектурно-художественного облика улиц, площадей, зданий, строений и сооружений, должны гармонировать с элементами внешнего благоустройства территории, а также элементами озеленения и цветочного оформления </w:t>
      </w:r>
      <w:r>
        <w:rPr>
          <w:sz w:val="28"/>
          <w:szCs w:val="28"/>
        </w:rPr>
        <w:t>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области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7.2.7. Все рекламные конструкции изготавливаются и размещаются в строгом соответствии с разработанными проектами рекламных конструкций.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7.2.8. Материалы, используемые при изготовлении рекламных конструкций, должны отвечать современным требованиям качества, пожарной и экологической безопасности.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Конструкции должны соответствовать требованиям надежности и безопасности, выдерживать ветровую и снеговую нагрузки, случайные вибрационные и ударные действия.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7.2.9. Конструкции, совмещающие элементы наружной рекламы с малыми архитектурными формами, должны предусматривать возможность демонтажа элемента наружной рекламы без нарушения целостности основного объекта малой архитектурной формы.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7.2.10. Установка рекламной конструкции допускается только при наличии соответствующего разрешения на установку рекламной конструкции полученного в соответствии с действующим законодательством Российской Федерации. 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7.2.11. Монтаж рекламной конструкции должен производиться без отклонений от проекта такой конструкции и места ее установки, определенного проектом, и обеспечивать надежное соединение элементов конструкции.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7.2.12. На территории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</w:t>
      </w:r>
      <w:r>
        <w:rPr>
          <w:spacing w:val="2"/>
          <w:sz w:val="28"/>
          <w:szCs w:val="28"/>
        </w:rPr>
        <w:lastRenderedPageBreak/>
        <w:t>области применяются следующие виды рекламных конструкций: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щитовые рекламные конструкции (щитовые установки) - одно-, двухсторонние плоскостные конструкции, устанавливаемые на поверхности земли с заглублением фундамента;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тумбы - объемные рекламные конструкции в виде цилиндров, призм и других геометрических форм без заглубления основания конструкции в землю;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кронштейны - двухсторонние плоскостные, а также объемные (световые короба) элементы, закрепленные перпендикулярно к внешним стенам зданий, а также на опорах освещения, иных отдельно стоящих стойках;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брандмауэрные панно - рекламные конструкции, размещаемые на внешних стенах (как правило, торцевых) зданий, строений и сооружений при обязательном согласии собственников имущества, к которому присоединяется рекламная конструкция;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крышные установки - объемные или плоскостные рекламные конструкции, расположенные полностью или частично выше уровня карниза или на крыше здания, к которому присоединяется рекламная конструкция;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щитовые рекламные конструкции (щитовые установки) на ограждениях строительных площадок - односторонние плоскостные конструкции, устанавливаемые на ограждениях строительных площадок на период строительства объектов капитального строительства или размещения объектов, не являющихся объектами капитального строительства.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других ограждениях размещение рекламных конструкций не допускается.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Также распространение наружной рекламы возможно с использованием объемных рекламных конструкций (воздушных шаров, аэростатов и иных технических сре</w:t>
      </w:r>
      <w:proofErr w:type="gramStart"/>
      <w:r>
        <w:rPr>
          <w:spacing w:val="2"/>
          <w:sz w:val="28"/>
          <w:szCs w:val="28"/>
        </w:rPr>
        <w:t>дств ст</w:t>
      </w:r>
      <w:proofErr w:type="gramEnd"/>
      <w:r>
        <w:rPr>
          <w:spacing w:val="2"/>
          <w:sz w:val="28"/>
          <w:szCs w:val="28"/>
        </w:rPr>
        <w:t>абильного территориального размещения) в соответствии с законодательством о рекламе.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7.2.13. При размещении отдельно стоящих щитовых установок фундаменты должны заглубляться в землю и не должны выступать над уровнем поверхности земли.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если для размещения рекламы используется только одна сторона двухсторонней щитовой установки, владелец рекламной конструкции обязан заполнить неиспользуемую сторону иным художественным оформлением по согласованию с администрацией.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7.2.14. При установке тумб, в случае если для размещения рекламы используется только одна сторона тумбы, владелец такой рекламной конструкции обязан заполнить неиспользуемые стороны иным художественным оформлением по согласованию с администрацией.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7.2.15. Опора, на которой планируется установка рекламной конструкции, должна иметь несущую способность, допускающую дополнительную нагрузку от рекламных конструкций.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Размещение кронштейна должно быть согласовано с собственником имущества, к которому присоединяется рекламная конструкция. В случае если для размещения рекламной информации используется только одна сторона кронштейна, рекламодатель обязан заполнить неиспользуемую сторону иным художественным оформлением по согласованию с администрацией.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7.2.16. Необходимым условием при размещении брандмауэрных панно, крышных установок является их стилистическое единство с архитектурным объектом, обеспечивающее цельность восприятия.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7.2.17. Крышные установки должны выполняться с применением современных технологий, газосветных или волоконно-оптических элементов, с внешней или с внутренней подсветкой, а также в виде электронных табло, экранов, должна быть обеспечена надежность и безопасность непосредственно рекламных конструкций, а также конструктивных элементов зданий, к которым они присоединяются.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7.2.18. На территории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pacing w:val="2"/>
          <w:sz w:val="28"/>
          <w:szCs w:val="28"/>
        </w:rPr>
        <w:t xml:space="preserve"> Новосибирской области допускается размещать временные выносные (мобильные) конструкции наружной рекламы, имеющие одну или две рекламные поверхности (</w:t>
      </w:r>
      <w:proofErr w:type="spellStart"/>
      <w:r>
        <w:rPr>
          <w:spacing w:val="2"/>
          <w:sz w:val="28"/>
          <w:szCs w:val="28"/>
        </w:rPr>
        <w:t>штендеры</w:t>
      </w:r>
      <w:proofErr w:type="spellEnd"/>
      <w:r>
        <w:rPr>
          <w:spacing w:val="2"/>
          <w:sz w:val="28"/>
          <w:szCs w:val="28"/>
        </w:rPr>
        <w:t>).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Временные выносные конструкции наружной рекламы устанавливаются непосредственно напротив здания (помещения) </w:t>
      </w:r>
      <w:proofErr w:type="spellStart"/>
      <w:r>
        <w:rPr>
          <w:spacing w:val="2"/>
          <w:sz w:val="28"/>
          <w:szCs w:val="28"/>
        </w:rPr>
        <w:t>рекламораспространителя</w:t>
      </w:r>
      <w:proofErr w:type="spellEnd"/>
      <w:r>
        <w:rPr>
          <w:spacing w:val="2"/>
          <w:sz w:val="28"/>
          <w:szCs w:val="28"/>
        </w:rPr>
        <w:t xml:space="preserve"> (рекламодателя) в часы его работы.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Временная выносная конструкция наружной рекламы может устанавливаться как на тротуаре, при условии, что его ширина составляет более двух метров, так и на газоне.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Временная выносная конструкция наружной рекламы, установленная на тротуаре, не должна мешать движению пешеходов, должна быть хорошо видна пешеходам без собственной подсветки.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Не допускается размещать временные выносные конструкции наружной рекламы на территориях общего пользования.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Временная выносная конструкция наружной рекламы должна быть устойчивой к ветровым нагрузкам. Площадь рекламного поля не должна превышать 1 кв. м для одной стороны.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7.2.19. Не допускается размещение рекламной информации в оконных проемах, на балконах и лоджиях жилых помещений многоквартирных домов.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Оконные проемы нежилых помещений могут быть художественно оформлены по согласованию с администрацией. Также в оконных проемах нежилых помещений допускается размещение информации, которая не является рекламой и относится к праздничному оформлению.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538"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7.2.20. Владелец рекламной конструкции обязан за свой счет: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содержать рекламную конструкцию в технически исправном состоянии, незамедлительно устранять повреждения конструкции;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поддерживать </w:t>
      </w:r>
      <w:proofErr w:type="gramStart"/>
      <w:r>
        <w:rPr>
          <w:spacing w:val="2"/>
          <w:sz w:val="28"/>
          <w:szCs w:val="28"/>
        </w:rPr>
        <w:t>эстетический вид</w:t>
      </w:r>
      <w:proofErr w:type="gramEnd"/>
      <w:r>
        <w:rPr>
          <w:spacing w:val="2"/>
          <w:sz w:val="28"/>
          <w:szCs w:val="28"/>
        </w:rPr>
        <w:t xml:space="preserve"> рекламной конструкции, своевременно (не реже одного раза в год) производить окраску </w:t>
      </w:r>
      <w:r>
        <w:rPr>
          <w:spacing w:val="2"/>
          <w:sz w:val="28"/>
          <w:szCs w:val="28"/>
        </w:rPr>
        <w:lastRenderedPageBreak/>
        <w:t>конструкции;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незамедлительно устранять разрушения целостности носителя изображения;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утилизировать в установленном законом порядке носители изображения после их снятия с рекламной конструкции.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Владелец рекламной конструкции не должен допускать нахождение вблизи рекламной конструкции снятого с рекламной конструкции носителя изображения, в том числе в результате воздействия ветра, атмосферных осадков.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Владелец рекламной конструкции несет ответственность за техническое состояние рекламной конструкции в период ее эксплуатации, за безопасность крепления конструкций, за электробезопасность, пожаробезопасность и экологическую безопасность.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7.2.21. Обязательным условием распространения наружной рекламы является наличие на рекламной конструкции полного наименования владельца рекламной конструкции, его местонахождения и номера телефона в виде штампа, надписи или таблички, </w:t>
      </w:r>
      <w:proofErr w:type="gramStart"/>
      <w:r>
        <w:rPr>
          <w:spacing w:val="2"/>
          <w:sz w:val="28"/>
          <w:szCs w:val="28"/>
        </w:rPr>
        <w:t>возможных</w:t>
      </w:r>
      <w:proofErr w:type="gramEnd"/>
      <w:r>
        <w:rPr>
          <w:spacing w:val="2"/>
          <w:sz w:val="28"/>
          <w:szCs w:val="28"/>
        </w:rPr>
        <w:t xml:space="preserve"> для прочтения с близкого расстояния.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7.2.22. Рекламная конструкция, размещенная в нарушение настоящих Правил, подлежит демонтажу.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имущества, к которому была присоединена рекламная конструкция.</w:t>
      </w:r>
    </w:p>
    <w:p w:rsidR="004E1952" w:rsidRDefault="004E1952" w:rsidP="004E19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При осуществлении демонтажа владелец рекламной конструкции обязан устранить все произведенные изменения (нарушения), возникшие в связи с ее установкой и эксплуатацией, произвести работы по приведению рекламного места в первоначальное состояние, которое было до установки рекламной конструкции, а также сдать рекламное место собственнику имущества или уполномоченному им лицу (организации), к которому была присоединена рекламная конструкция, по акту приемки-передачи.</w:t>
      </w:r>
      <w:proofErr w:type="gramEnd"/>
    </w:p>
    <w:p w:rsidR="004E1952" w:rsidRDefault="004E1952" w:rsidP="004E1952">
      <w:pPr>
        <w:shd w:val="clear" w:color="auto" w:fill="FDFEFF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7.2.23. Запрещается размещение на одной опоре более одного кронштейна, в створе и в одном сечении с дорожными знаками и светофорами, а также сходство с дорожными знаками рекламного изображения на кронштейне</w:t>
      </w:r>
      <w:proofErr w:type="gramStart"/>
      <w:r>
        <w:rPr>
          <w:sz w:val="28"/>
          <w:szCs w:val="28"/>
        </w:rPr>
        <w:t>.»</w:t>
      </w:r>
      <w:proofErr w:type="gramEnd"/>
    </w:p>
    <w:p w:rsidR="004E1952" w:rsidRDefault="004E1952" w:rsidP="004E1952">
      <w:pPr>
        <w:pStyle w:val="a3"/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Решение опубликовать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ind w:firstLine="851"/>
        <w:jc w:val="both"/>
        <w:rPr>
          <w:sz w:val="28"/>
          <w:szCs w:val="28"/>
        </w:rPr>
      </w:pPr>
    </w:p>
    <w:p w:rsidR="004E1952" w:rsidRDefault="004E1952" w:rsidP="004E1952">
      <w:pPr>
        <w:spacing w:line="100" w:lineRule="atLeast"/>
        <w:rPr>
          <w:b/>
          <w:sz w:val="28"/>
          <w:szCs w:val="28"/>
        </w:rPr>
      </w:pPr>
    </w:p>
    <w:p w:rsidR="004E1952" w:rsidRDefault="004E1952" w:rsidP="004E1952">
      <w:pPr>
        <w:spacing w:line="100" w:lineRule="atLeast"/>
        <w:rPr>
          <w:b/>
          <w:sz w:val="28"/>
          <w:szCs w:val="28"/>
        </w:rPr>
      </w:pPr>
    </w:p>
    <w:p w:rsidR="004E1952" w:rsidRDefault="004E1952" w:rsidP="004E195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E1952" w:rsidRDefault="004E1952" w:rsidP="004E195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4E1952" w:rsidRDefault="004E1952" w:rsidP="004E1952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E1952" w:rsidRDefault="004E1952" w:rsidP="004E195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4E1952" w:rsidRDefault="004E1952" w:rsidP="004E1952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4E1952" w:rsidRDefault="004E1952" w:rsidP="004E195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2153C6">
        <w:rPr>
          <w:b/>
          <w:sz w:val="28"/>
          <w:szCs w:val="28"/>
        </w:rPr>
        <w:t>______(ПРОЕКТ</w:t>
      </w:r>
      <w:r>
        <w:rPr>
          <w:b/>
          <w:sz w:val="28"/>
          <w:szCs w:val="28"/>
        </w:rPr>
        <w:t>)</w:t>
      </w:r>
    </w:p>
    <w:p w:rsidR="004E1952" w:rsidRDefault="004E1952" w:rsidP="004E195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(___________________________)</w:t>
      </w:r>
    </w:p>
    <w:p w:rsidR="004E1952" w:rsidRDefault="004E1952" w:rsidP="004E1952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4E1952" w:rsidRDefault="004E1952" w:rsidP="004E1952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4E1952" w:rsidRDefault="004E1952" w:rsidP="004E1952">
      <w:pPr>
        <w:spacing w:line="100" w:lineRule="atLeast"/>
        <w:ind w:firstLine="851"/>
        <w:jc w:val="center"/>
        <w:rPr>
          <w:sz w:val="28"/>
          <w:szCs w:val="28"/>
        </w:rPr>
      </w:pPr>
    </w:p>
    <w:p w:rsidR="004E1952" w:rsidRDefault="004E1952" w:rsidP="004E1952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2018 год и на плановый период на 2019-2020 годы»</w:t>
      </w:r>
    </w:p>
    <w:p w:rsidR="004E1952" w:rsidRDefault="004E1952" w:rsidP="004E1952">
      <w:pPr>
        <w:spacing w:line="100" w:lineRule="atLeast"/>
        <w:ind w:firstLine="851"/>
        <w:jc w:val="center"/>
        <w:rPr>
          <w:sz w:val="28"/>
          <w:szCs w:val="28"/>
        </w:rPr>
      </w:pPr>
    </w:p>
    <w:p w:rsidR="004E1952" w:rsidRDefault="004E1952" w:rsidP="004E1952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1952" w:rsidRDefault="004E1952" w:rsidP="004E1952">
      <w:pPr>
        <w:spacing w:line="100" w:lineRule="atLeast"/>
        <w:ind w:firstLine="851"/>
        <w:rPr>
          <w:sz w:val="28"/>
          <w:szCs w:val="28"/>
        </w:rPr>
      </w:pPr>
    </w:p>
    <w:p w:rsidR="004E1952" w:rsidRDefault="004E1952" w:rsidP="004E1952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E1952" w:rsidRDefault="004E1952" w:rsidP="004E1952">
      <w:pPr>
        <w:spacing w:line="100" w:lineRule="atLeast"/>
        <w:ind w:firstLine="851"/>
        <w:rPr>
          <w:sz w:val="28"/>
          <w:szCs w:val="28"/>
        </w:rPr>
      </w:pPr>
    </w:p>
    <w:p w:rsidR="004E1952" w:rsidRDefault="004E1952" w:rsidP="004E1952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E1952" w:rsidRDefault="004E1952" w:rsidP="004E19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2018год и на плановый период на 2019-2020 годы»:</w:t>
      </w:r>
    </w:p>
    <w:p w:rsidR="004E1952" w:rsidRDefault="004E1952" w:rsidP="004E1952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2018 год в сумме  37 237 469 рублей 17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4E1952" w:rsidRDefault="004E1952" w:rsidP="004E1952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2018 год в сумме 45 958 005 рублей 82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4E1952" w:rsidRDefault="004E1952" w:rsidP="004E1952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4E1952" w:rsidRDefault="004E1952" w:rsidP="004E1952">
      <w:pPr>
        <w:pStyle w:val="ConsPlusTitle"/>
        <w:widowControl/>
        <w:numPr>
          <w:ilvl w:val="0"/>
          <w:numId w:val="6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4E1952" w:rsidRDefault="004E1952" w:rsidP="004E195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1952" w:rsidRDefault="004E1952" w:rsidP="004E195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1952" w:rsidRDefault="004E1952" w:rsidP="004E1952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1952" w:rsidRDefault="004E1952" w:rsidP="004E19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4E1952" w:rsidRDefault="004E1952" w:rsidP="004E19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1952" w:rsidRDefault="004E1952" w:rsidP="004E195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 xml:space="preserve">Приложение </w:t>
      </w:r>
      <w:r w:rsidR="002153C6">
        <w:rPr>
          <w:rFonts w:eastAsia="Calibri"/>
          <w:sz w:val="20"/>
          <w:szCs w:val="20"/>
          <w:lang w:eastAsia="en-US" w:bidi="en-US"/>
        </w:rPr>
        <w:t>№1</w:t>
      </w:r>
    </w:p>
    <w:p w:rsidR="004E1952" w:rsidRDefault="004E1952" w:rsidP="004E195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</w:p>
    <w:p w:rsidR="004E1952" w:rsidRDefault="004E1952" w:rsidP="004E195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№______     _______</w:t>
      </w:r>
      <w:r w:rsidR="002153C6">
        <w:rPr>
          <w:rFonts w:eastAsia="Calibri"/>
          <w:sz w:val="20"/>
          <w:szCs w:val="20"/>
          <w:lang w:eastAsia="en-US" w:bidi="en-US"/>
        </w:rPr>
        <w:t>сессии</w:t>
      </w:r>
    </w:p>
    <w:p w:rsidR="004E1952" w:rsidRDefault="004E1952" w:rsidP="004E195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4E1952" w:rsidRDefault="004E1952" w:rsidP="004E195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4E1952" w:rsidRDefault="004E1952" w:rsidP="004E195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4E1952" w:rsidRDefault="004E1952" w:rsidP="004E195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_____________</w:t>
      </w:r>
    </w:p>
    <w:p w:rsidR="004E1952" w:rsidRDefault="004E1952" w:rsidP="004E1952">
      <w:pPr>
        <w:spacing w:line="100" w:lineRule="atLeast"/>
        <w:ind w:left="4956" w:firstLine="851"/>
        <w:rPr>
          <w:rFonts w:eastAsia="Calibri"/>
          <w:lang w:eastAsia="en-US" w:bidi="en-US"/>
        </w:rPr>
      </w:pPr>
    </w:p>
    <w:p w:rsidR="004E1952" w:rsidRDefault="004E1952" w:rsidP="004E1952">
      <w:pPr>
        <w:ind w:firstLine="851"/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2018 г.</w:t>
      </w:r>
    </w:p>
    <w:p w:rsidR="004E1952" w:rsidRDefault="004E1952" w:rsidP="004E1952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4E1952" w:rsidRDefault="004E1952" w:rsidP="004E1952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5071"/>
        <w:gridCol w:w="3260"/>
        <w:gridCol w:w="1560"/>
        <w:gridCol w:w="1041"/>
      </w:tblGrid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8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4E1952" w:rsidTr="004E1952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100" w:lineRule="atLeast"/>
              <w:jc w:val="center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2 456 000,00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12 000,00</w:t>
            </w:r>
          </w:p>
        </w:tc>
      </w:tr>
      <w:tr w:rsidR="004E1952" w:rsidTr="004E1952">
        <w:trPr>
          <w:gridAfter w:val="1"/>
          <w:wAfter w:w="1041" w:type="dxa"/>
          <w:trHeight w:val="53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258 300,00</w:t>
            </w:r>
          </w:p>
        </w:tc>
      </w:tr>
      <w:tr w:rsidR="004E1952" w:rsidTr="004E1952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15 270 000,00</w:t>
            </w:r>
          </w:p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4E1952" w:rsidTr="004E1952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401 000,00</w:t>
            </w:r>
          </w:p>
        </w:tc>
      </w:tr>
      <w:tr w:rsidR="004E1952" w:rsidTr="004E1952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80 000,00</w:t>
            </w:r>
          </w:p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4E1952" w:rsidTr="004E1952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250 000,00</w:t>
            </w:r>
          </w:p>
        </w:tc>
      </w:tr>
      <w:tr w:rsidR="004E1952" w:rsidTr="004E1952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2 200,0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 между бюджетами Российской Федерации и местными бюджетами с </w:t>
            </w:r>
            <w:r>
              <w:rPr>
                <w:kern w:val="2"/>
                <w:sz w:val="20"/>
                <w:szCs w:val="20"/>
                <w:lang w:eastAsia="en-US"/>
              </w:rPr>
              <w:lastRenderedPageBreak/>
              <w:t>учетом установленных 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100 103 02250 01 0000 110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463 000,0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41 400,00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245 800,00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1 700 000,00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300 000,0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500,00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21402400,00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6811520,00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jc w:val="center"/>
              <w:rPr>
                <w:lang w:eastAsia="en-US"/>
              </w:rPr>
            </w:pPr>
          </w:p>
          <w:p w:rsidR="004E1952" w:rsidRDefault="004E19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rPr>
                <w:lang w:eastAsia="en-US"/>
              </w:rPr>
            </w:pPr>
          </w:p>
          <w:p w:rsidR="004E1952" w:rsidRDefault="004E19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235639,00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3779390,12</w:t>
            </w:r>
          </w:p>
          <w:p w:rsidR="004E1952" w:rsidRDefault="004E1952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Поступления денежных пожертвований получателям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555 207 05030 13 0000 180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5 008 520,00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15835069,12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37237469,17</w:t>
            </w:r>
          </w:p>
        </w:tc>
      </w:tr>
      <w:tr w:rsidR="004E1952" w:rsidTr="004E1952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E1952" w:rsidTr="004E1952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41" w:type="dxa"/>
          </w:tcPr>
          <w:p w:rsidR="004E1952" w:rsidRDefault="004E195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4E1952" w:rsidRDefault="004E1952" w:rsidP="004E1952">
      <w:pPr>
        <w:spacing w:after="200" w:line="276" w:lineRule="auto"/>
      </w:pPr>
    </w:p>
    <w:p w:rsidR="004E1952" w:rsidRDefault="004E1952" w:rsidP="004E1952">
      <w:pPr>
        <w:spacing w:after="200" w:line="276" w:lineRule="auto"/>
      </w:pPr>
      <w:r>
        <w:br w:type="page"/>
      </w:r>
    </w:p>
    <w:tbl>
      <w:tblPr>
        <w:tblW w:w="108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2"/>
        <w:gridCol w:w="272"/>
        <w:gridCol w:w="272"/>
        <w:gridCol w:w="272"/>
        <w:gridCol w:w="272"/>
        <w:gridCol w:w="3345"/>
        <w:gridCol w:w="769"/>
        <w:gridCol w:w="82"/>
        <w:gridCol w:w="154"/>
        <w:gridCol w:w="413"/>
        <w:gridCol w:w="425"/>
        <w:gridCol w:w="1134"/>
        <w:gridCol w:w="567"/>
        <w:gridCol w:w="1134"/>
        <w:gridCol w:w="803"/>
        <w:gridCol w:w="45"/>
        <w:gridCol w:w="191"/>
        <w:gridCol w:w="236"/>
        <w:gridCol w:w="236"/>
      </w:tblGrid>
      <w:tr w:rsidR="004E1952" w:rsidTr="004E1952">
        <w:trPr>
          <w:gridAfter w:val="3"/>
          <w:wAfter w:w="663" w:type="dxa"/>
          <w:trHeight w:val="264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E1952" w:rsidRDefault="004E195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21" w:type="dxa"/>
            <w:gridSpan w:val="7"/>
            <w:noWrap/>
            <w:vAlign w:val="bottom"/>
            <w:hideMark/>
          </w:tcPr>
          <w:p w:rsidR="004E1952" w:rsidRDefault="002153C6" w:rsidP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Приложение  № 2 </w:t>
            </w:r>
            <w:r w:rsidR="004E1952">
              <w:rPr>
                <w:rFonts w:ascii="Arial" w:hAnsi="Arial" w:cs="Arial"/>
                <w:sz w:val="20"/>
                <w:szCs w:val="20"/>
                <w:lang w:eastAsia="en-US"/>
              </w:rPr>
              <w:t>к решению№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_____  _____</w:t>
            </w:r>
            <w:r w:rsidR="004E1952">
              <w:rPr>
                <w:rFonts w:ascii="Arial" w:hAnsi="Arial" w:cs="Arial"/>
                <w:sz w:val="20"/>
                <w:szCs w:val="20"/>
                <w:lang w:eastAsia="en-US"/>
              </w:rPr>
              <w:t>сессии Совета</w:t>
            </w:r>
          </w:p>
        </w:tc>
      </w:tr>
      <w:tr w:rsidR="004E1952" w:rsidTr="004E1952">
        <w:trPr>
          <w:gridAfter w:val="3"/>
          <w:wAfter w:w="663" w:type="dxa"/>
          <w:trHeight w:val="264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21" w:type="dxa"/>
            <w:gridSpan w:val="7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</w:tr>
      <w:tr w:rsidR="004E1952" w:rsidTr="004E1952">
        <w:trPr>
          <w:gridAfter w:val="3"/>
          <w:wAfter w:w="663" w:type="dxa"/>
          <w:trHeight w:val="264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21" w:type="dxa"/>
            <w:gridSpan w:val="7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</w:tr>
      <w:tr w:rsidR="004E1952" w:rsidTr="004E1952">
        <w:trPr>
          <w:gridAfter w:val="3"/>
          <w:wAfter w:w="663" w:type="dxa"/>
          <w:trHeight w:val="264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gridSpan w:val="3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_________года</w:t>
            </w:r>
          </w:p>
          <w:p w:rsidR="004E1952" w:rsidRDefault="004E1952" w:rsidP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Таблица № </w:t>
            </w:r>
            <w:r w:rsidR="002153C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gridAfter w:val="12"/>
          <w:wAfter w:w="5420" w:type="dxa"/>
          <w:trHeight w:val="264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gridAfter w:val="12"/>
          <w:wAfter w:w="5420" w:type="dxa"/>
          <w:trHeight w:val="264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gridAfter w:val="12"/>
          <w:wAfter w:w="5420" w:type="dxa"/>
          <w:trHeight w:val="255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10648" w:type="dxa"/>
            <w:gridSpan w:val="18"/>
            <w:noWrap/>
            <w:vAlign w:val="bottom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236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10648" w:type="dxa"/>
            <w:gridSpan w:val="18"/>
            <w:noWrap/>
            <w:vAlign w:val="bottom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2018 год по ведомственной структуре расходов</w:t>
            </w:r>
          </w:p>
        </w:tc>
        <w:tc>
          <w:tcPr>
            <w:tcW w:w="236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645"/>
        </w:trPr>
        <w:tc>
          <w:tcPr>
            <w:tcW w:w="5464" w:type="dxa"/>
            <w:gridSpan w:val="7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2775" w:type="dxa"/>
            <w:gridSpan w:val="6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5464" w:type="dxa"/>
            <w:gridSpan w:val="7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5464" w:type="dxa"/>
            <w:gridSpan w:val="7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25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14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369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4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45 958 005,82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7 857 385,00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6 958 480,00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6 836 380,00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4 544 940,00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2 006 394,83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254 045,17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233 810,00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1 829,00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373 943,99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155 168,99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145 168,99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145 168,99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9 480 566,24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19 325 856,73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371 394,00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13 906 244,98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169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2 631 499,00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2 631 499,00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6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5 700 810,67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5 700 810,67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5 573 935,31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90 421,97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5 459 803,00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23 710,34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5 033 217,75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2 465 533,43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1 333 072,00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107 691,18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8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1 024 770,25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2 567 684,32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1 683 881,67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841 404,65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42 398,00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6 784 046,82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6 784 046,82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106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947 291,17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947 291,17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5 536 755,65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3 046 483,37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2 196 516,63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293 755,65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1 264 270,04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43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364 000,00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4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20 192,00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6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45 958 005,82</w:t>
            </w:r>
          </w:p>
        </w:tc>
        <w:tc>
          <w:tcPr>
            <w:tcW w:w="803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4E1952" w:rsidRDefault="004E1952" w:rsidP="004E1952">
      <w:pPr>
        <w:spacing w:after="200" w:line="276" w:lineRule="auto"/>
      </w:pPr>
      <w:r>
        <w:br w:type="page"/>
      </w:r>
    </w:p>
    <w:tbl>
      <w:tblPr>
        <w:tblW w:w="20078" w:type="dxa"/>
        <w:tblInd w:w="93" w:type="dxa"/>
        <w:tblLook w:val="04A0" w:firstRow="1" w:lastRow="0" w:firstColumn="1" w:lastColumn="0" w:noHBand="0" w:noVBand="1"/>
      </w:tblPr>
      <w:tblGrid>
        <w:gridCol w:w="272"/>
        <w:gridCol w:w="272"/>
        <w:gridCol w:w="272"/>
        <w:gridCol w:w="272"/>
        <w:gridCol w:w="226"/>
        <w:gridCol w:w="46"/>
        <w:gridCol w:w="272"/>
        <w:gridCol w:w="1291"/>
        <w:gridCol w:w="40"/>
        <w:gridCol w:w="318"/>
        <w:gridCol w:w="1630"/>
        <w:gridCol w:w="349"/>
        <w:gridCol w:w="683"/>
        <w:gridCol w:w="471"/>
        <w:gridCol w:w="377"/>
        <w:gridCol w:w="249"/>
        <w:gridCol w:w="99"/>
        <w:gridCol w:w="15"/>
        <w:gridCol w:w="20"/>
        <w:gridCol w:w="295"/>
        <w:gridCol w:w="425"/>
        <w:gridCol w:w="129"/>
        <w:gridCol w:w="7"/>
        <w:gridCol w:w="250"/>
        <w:gridCol w:w="539"/>
        <w:gridCol w:w="15"/>
        <w:gridCol w:w="263"/>
        <w:gridCol w:w="156"/>
        <w:gridCol w:w="447"/>
        <w:gridCol w:w="82"/>
        <w:gridCol w:w="204"/>
        <w:gridCol w:w="309"/>
        <w:gridCol w:w="125"/>
        <w:gridCol w:w="535"/>
        <w:gridCol w:w="324"/>
        <w:gridCol w:w="1236"/>
        <w:gridCol w:w="2924"/>
        <w:gridCol w:w="914"/>
        <w:gridCol w:w="914"/>
        <w:gridCol w:w="914"/>
        <w:gridCol w:w="914"/>
        <w:gridCol w:w="761"/>
        <w:gridCol w:w="222"/>
      </w:tblGrid>
      <w:tr w:rsidR="004E1952" w:rsidTr="004E1952">
        <w:trPr>
          <w:gridAfter w:val="13"/>
          <w:wAfter w:w="10296" w:type="dxa"/>
          <w:trHeight w:val="264"/>
        </w:trPr>
        <w:tc>
          <w:tcPr>
            <w:tcW w:w="5260" w:type="dxa"/>
            <w:gridSpan w:val="12"/>
            <w:noWrap/>
            <w:vAlign w:val="bottom"/>
            <w:hideMark/>
          </w:tcPr>
          <w:p w:rsidR="004E1952" w:rsidRDefault="004E195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22" w:type="dxa"/>
            <w:gridSpan w:val="18"/>
            <w:vAlign w:val="bottom"/>
            <w:hideMark/>
          </w:tcPr>
          <w:p w:rsidR="004E1952" w:rsidRDefault="002153C6" w:rsidP="004E1952">
            <w:pPr>
              <w:tabs>
                <w:tab w:val="left" w:pos="3622"/>
              </w:tabs>
              <w:spacing w:line="276" w:lineRule="auto"/>
              <w:ind w:right="43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 2</w:t>
            </w:r>
            <w:r w:rsidR="004E195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 решению №_____ ____ сессии Совета</w:t>
            </w:r>
          </w:p>
        </w:tc>
      </w:tr>
      <w:tr w:rsidR="004E1952" w:rsidTr="004E1952">
        <w:trPr>
          <w:gridAfter w:val="13"/>
          <w:wAfter w:w="10296" w:type="dxa"/>
          <w:trHeight w:val="264"/>
        </w:trPr>
        <w:tc>
          <w:tcPr>
            <w:tcW w:w="5260" w:type="dxa"/>
            <w:gridSpan w:val="1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22" w:type="dxa"/>
            <w:gridSpan w:val="18"/>
            <w:vAlign w:val="bottom"/>
            <w:hideMark/>
          </w:tcPr>
          <w:p w:rsidR="004E1952" w:rsidRDefault="004E1952">
            <w:pPr>
              <w:tabs>
                <w:tab w:val="left" w:pos="3622"/>
              </w:tabs>
              <w:spacing w:line="276" w:lineRule="auto"/>
              <w:ind w:right="43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 Новосибирской области пятого созыва от __________ года </w:t>
            </w:r>
          </w:p>
          <w:p w:rsidR="004E1952" w:rsidRDefault="004E1952" w:rsidP="004E1952">
            <w:pPr>
              <w:tabs>
                <w:tab w:val="left" w:pos="3622"/>
              </w:tabs>
              <w:spacing w:line="276" w:lineRule="auto"/>
              <w:ind w:right="43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Таблица № </w:t>
            </w:r>
            <w:r w:rsidR="002153C6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4E1952" w:rsidTr="004E1952">
        <w:trPr>
          <w:gridAfter w:val="36"/>
          <w:wAfter w:w="18446" w:type="dxa"/>
          <w:trHeight w:val="264"/>
        </w:trPr>
        <w:tc>
          <w:tcPr>
            <w:tcW w:w="1632" w:type="dxa"/>
            <w:gridSpan w:val="7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gridAfter w:val="34"/>
          <w:wAfter w:w="17115" w:type="dxa"/>
          <w:trHeight w:val="264"/>
        </w:trPr>
        <w:tc>
          <w:tcPr>
            <w:tcW w:w="1314" w:type="dxa"/>
            <w:gridSpan w:val="5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4"/>
            <w:vAlign w:val="bottom"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4E1952" w:rsidTr="004E1952">
        <w:trPr>
          <w:gridAfter w:val="32"/>
          <w:wAfter w:w="15167" w:type="dxa"/>
          <w:trHeight w:val="264"/>
        </w:trPr>
        <w:tc>
          <w:tcPr>
            <w:tcW w:w="1632" w:type="dxa"/>
            <w:gridSpan w:val="7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gridSpan w:val="3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30" w:type="dxa"/>
            <w:vAlign w:val="bottom"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4E1952" w:rsidTr="004E1952">
        <w:trPr>
          <w:trHeight w:val="300"/>
        </w:trPr>
        <w:tc>
          <w:tcPr>
            <w:tcW w:w="11279" w:type="dxa"/>
            <w:gridSpan w:val="35"/>
            <w:noWrap/>
            <w:vAlign w:val="bottom"/>
            <w:hideMark/>
          </w:tcPr>
          <w:p w:rsidR="004E1952" w:rsidRDefault="004E1952">
            <w:pPr>
              <w:spacing w:line="276" w:lineRule="auto"/>
              <w:ind w:right="12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4160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64"/>
        </w:trPr>
        <w:tc>
          <w:tcPr>
            <w:tcW w:w="11279" w:type="dxa"/>
            <w:gridSpan w:val="35"/>
            <w:noWrap/>
            <w:vAlign w:val="bottom"/>
            <w:hideMark/>
          </w:tcPr>
          <w:p w:rsidR="004E1952" w:rsidRDefault="004E1952">
            <w:pPr>
              <w:spacing w:line="276" w:lineRule="auto"/>
              <w:ind w:right="12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4160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64"/>
        </w:trPr>
        <w:tc>
          <w:tcPr>
            <w:tcW w:w="11279" w:type="dxa"/>
            <w:gridSpan w:val="35"/>
            <w:noWrap/>
            <w:vAlign w:val="bottom"/>
            <w:hideMark/>
          </w:tcPr>
          <w:p w:rsidR="004E1952" w:rsidRDefault="004E1952">
            <w:pPr>
              <w:spacing w:line="276" w:lineRule="auto"/>
              <w:ind w:right="12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ик</w:t>
            </w:r>
            <w:proofErr w:type="spellEnd"/>
          </w:p>
        </w:tc>
        <w:tc>
          <w:tcPr>
            <w:tcW w:w="4160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64"/>
        </w:trPr>
        <w:tc>
          <w:tcPr>
            <w:tcW w:w="5943" w:type="dxa"/>
            <w:gridSpan w:val="13"/>
            <w:noWrap/>
            <w:vAlign w:val="bottom"/>
            <w:hideMark/>
          </w:tcPr>
          <w:p w:rsidR="004E1952" w:rsidRDefault="004E1952">
            <w:pPr>
              <w:spacing w:line="276" w:lineRule="auto"/>
              <w:ind w:right="1275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211" w:type="dxa"/>
            <w:gridSpan w:val="5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gridSpan w:val="4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gridSpan w:val="6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5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trHeight w:val="255"/>
        </w:trPr>
        <w:tc>
          <w:tcPr>
            <w:tcW w:w="2923" w:type="dxa"/>
            <w:gridSpan w:val="8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gridSpan w:val="5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gridSpan w:val="5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gridSpan w:val="4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gridSpan w:val="6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7" w:type="dxa"/>
            <w:gridSpan w:val="5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59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160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14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  <w:vAlign w:val="center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gridAfter w:val="14"/>
          <w:wAfter w:w="10378" w:type="dxa"/>
          <w:trHeight w:val="645"/>
        </w:trPr>
        <w:tc>
          <w:tcPr>
            <w:tcW w:w="6791" w:type="dxa"/>
            <w:gridSpan w:val="15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2909" w:type="dxa"/>
            <w:gridSpan w:val="14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4E1952" w:rsidTr="004E1952">
        <w:trPr>
          <w:gridAfter w:val="14"/>
          <w:wAfter w:w="10378" w:type="dxa"/>
          <w:trHeight w:val="255"/>
        </w:trPr>
        <w:tc>
          <w:tcPr>
            <w:tcW w:w="6791" w:type="dxa"/>
            <w:gridSpan w:val="15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9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</w:tr>
      <w:tr w:rsidR="004E1952" w:rsidTr="004E1952">
        <w:trPr>
          <w:gridAfter w:val="16"/>
          <w:wAfter w:w="10981" w:type="dxa"/>
          <w:trHeight w:val="255"/>
        </w:trPr>
        <w:tc>
          <w:tcPr>
            <w:tcW w:w="6791" w:type="dxa"/>
            <w:gridSpan w:val="15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49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gridSpan w:val="4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3" w:type="dxa"/>
            <w:gridSpan w:val="6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gridAfter w:val="7"/>
          <w:wAfter w:w="7563" w:type="dxa"/>
          <w:trHeight w:val="225"/>
        </w:trPr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7" w:type="dxa"/>
            <w:gridSpan w:val="10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1" w:type="dxa"/>
            <w:gridSpan w:val="6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04" w:type="dxa"/>
            <w:gridSpan w:val="3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gridSpan w:val="6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E1952" w:rsidTr="004E1952">
        <w:trPr>
          <w:gridAfter w:val="12"/>
          <w:wAfter w:w="10092" w:type="dxa"/>
          <w:trHeight w:val="393"/>
        </w:trPr>
        <w:tc>
          <w:tcPr>
            <w:tcW w:w="594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952" w:rsidRDefault="004E195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7 857 385,00</w:t>
            </w:r>
          </w:p>
        </w:tc>
      </w:tr>
      <w:tr w:rsidR="004E1952" w:rsidTr="004E1952">
        <w:trPr>
          <w:gridAfter w:val="12"/>
          <w:wAfter w:w="10092" w:type="dxa"/>
          <w:trHeight w:val="64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745 580,00</w:t>
            </w:r>
          </w:p>
        </w:tc>
      </w:tr>
      <w:tr w:rsidR="004E1952" w:rsidTr="004E1952">
        <w:trPr>
          <w:gridAfter w:val="12"/>
          <w:wAfter w:w="10092" w:type="dxa"/>
          <w:trHeight w:val="8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6 958 480,00</w:t>
            </w:r>
          </w:p>
        </w:tc>
      </w:tr>
      <w:tr w:rsidR="004E1952" w:rsidTr="004E1952">
        <w:trPr>
          <w:gridAfter w:val="12"/>
          <w:wAfter w:w="10092" w:type="dxa"/>
          <w:trHeight w:val="106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122 100,00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6 836 380,00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4 544 940,00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2 006 394,83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254 045,17</w:t>
            </w:r>
          </w:p>
        </w:tc>
      </w:tr>
      <w:tr w:rsidR="004E1952" w:rsidTr="004E1952">
        <w:trPr>
          <w:gridAfter w:val="12"/>
          <w:wAfter w:w="10092" w:type="dxa"/>
          <w:trHeight w:val="64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4E1952" w:rsidTr="004E1952">
        <w:trPr>
          <w:gridAfter w:val="12"/>
          <w:wAfter w:w="10092" w:type="dxa"/>
          <w:trHeight w:val="64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103 000,00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235 639,00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233 810,00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1 829,00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373 943,99</w:t>
            </w:r>
          </w:p>
        </w:tc>
      </w:tr>
      <w:tr w:rsidR="004E1952" w:rsidTr="004E1952">
        <w:trPr>
          <w:gridAfter w:val="12"/>
          <w:wAfter w:w="10092" w:type="dxa"/>
          <w:trHeight w:val="64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155 168,99</w:t>
            </w:r>
          </w:p>
        </w:tc>
      </w:tr>
      <w:tr w:rsidR="004E1952" w:rsidTr="004E1952">
        <w:trPr>
          <w:gridAfter w:val="12"/>
          <w:wAfter w:w="10092" w:type="dxa"/>
          <w:trHeight w:val="64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145 168,99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145 168,99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218 775,00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9 480 566,24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9 258 807,23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221 759,01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19 325 856,73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386 394,00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371 394,00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13 906 244,98</w:t>
            </w:r>
          </w:p>
        </w:tc>
      </w:tr>
      <w:tr w:rsidR="004E1952" w:rsidTr="004E1952">
        <w:trPr>
          <w:gridAfter w:val="12"/>
          <w:wAfter w:w="10092" w:type="dxa"/>
          <w:trHeight w:val="148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2 631 499,00</w:t>
            </w:r>
          </w:p>
        </w:tc>
      </w:tr>
      <w:tr w:rsidR="004E1952" w:rsidTr="004E1952">
        <w:trPr>
          <w:gridAfter w:val="12"/>
          <w:wAfter w:w="10092" w:type="dxa"/>
          <w:trHeight w:val="8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0910070810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2 631 499,00</w:t>
            </w:r>
          </w:p>
        </w:tc>
      </w:tr>
      <w:tr w:rsidR="004E1952" w:rsidTr="004E1952">
        <w:trPr>
          <w:gridAfter w:val="12"/>
          <w:wAfter w:w="10092" w:type="dxa"/>
          <w:trHeight w:val="64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5 700 810,67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8800001020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5 700 810,67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5 573 935,31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90 421,97</w:t>
            </w:r>
          </w:p>
        </w:tc>
      </w:tr>
      <w:tr w:rsidR="004E1952" w:rsidTr="004E1952">
        <w:trPr>
          <w:gridAfter w:val="12"/>
          <w:wAfter w:w="10092" w:type="dxa"/>
          <w:trHeight w:val="8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5 459 803,00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23 710,34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5 033 217,75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2 465 533,43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1 333 072,00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107 691,18</w:t>
            </w:r>
          </w:p>
        </w:tc>
      </w:tr>
      <w:tr w:rsidR="004E1952" w:rsidTr="004E1952">
        <w:trPr>
          <w:gridAfter w:val="12"/>
          <w:wAfter w:w="10092" w:type="dxa"/>
          <w:trHeight w:val="8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1 024 770,25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2 567 684,32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1 683 881,67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841 404,65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42 398,00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4E1952" w:rsidTr="004E1952">
        <w:trPr>
          <w:gridAfter w:val="12"/>
          <w:wAfter w:w="10092" w:type="dxa"/>
          <w:trHeight w:val="106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4800070460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72 106,00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6 784 046,82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6 784 046,82</w:t>
            </w:r>
          </w:p>
        </w:tc>
      </w:tr>
      <w:tr w:rsidR="004E1952" w:rsidTr="004E1952">
        <w:trPr>
          <w:gridAfter w:val="12"/>
          <w:wAfter w:w="10092" w:type="dxa"/>
          <w:trHeight w:val="106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2014-2020годы"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947 291,17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0300070510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947 291,17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5 536 755,65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3 046 483,37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2 196 516,63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293 755,65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1 648 462,04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1 264 270,04</w:t>
            </w:r>
          </w:p>
        </w:tc>
      </w:tr>
      <w:tr w:rsidR="004E1952" w:rsidTr="004E1952">
        <w:trPr>
          <w:gridAfter w:val="12"/>
          <w:wAfter w:w="10092" w:type="dxa"/>
          <w:trHeight w:val="43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364 000,00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594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0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6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20 192,00</w:t>
            </w:r>
          </w:p>
        </w:tc>
      </w:tr>
      <w:tr w:rsidR="004E1952" w:rsidTr="004E1952">
        <w:trPr>
          <w:gridAfter w:val="12"/>
          <w:wAfter w:w="10092" w:type="dxa"/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1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E1952" w:rsidRDefault="004E195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45 958 005,82</w:t>
            </w:r>
          </w:p>
        </w:tc>
      </w:tr>
    </w:tbl>
    <w:p w:rsidR="00202A85" w:rsidRDefault="00202A85"/>
    <w:sectPr w:rsidR="0020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6B5EBB"/>
    <w:multiLevelType w:val="hybridMultilevel"/>
    <w:tmpl w:val="0190676E"/>
    <w:lvl w:ilvl="0" w:tplc="839C67F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52"/>
    <w:rsid w:val="0012395F"/>
    <w:rsid w:val="00202A85"/>
    <w:rsid w:val="002153C6"/>
    <w:rsid w:val="004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52"/>
    <w:pPr>
      <w:ind w:left="720"/>
      <w:contextualSpacing/>
    </w:pPr>
  </w:style>
  <w:style w:type="paragraph" w:customStyle="1" w:styleId="ConsPlusTitle">
    <w:name w:val="ConsPlusTitle"/>
    <w:rsid w:val="004E1952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52"/>
    <w:pPr>
      <w:ind w:left="720"/>
      <w:contextualSpacing/>
    </w:pPr>
  </w:style>
  <w:style w:type="paragraph" w:customStyle="1" w:styleId="ConsPlusTitle">
    <w:name w:val="ConsPlusTitle"/>
    <w:rsid w:val="004E1952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7975</Words>
  <Characters>45460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2018-09-20T03:56:00Z</dcterms:created>
  <dcterms:modified xsi:type="dcterms:W3CDTF">2018-09-20T04:13:00Z</dcterms:modified>
</cp:coreProperties>
</file>